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32"/>
          <w:szCs w:val="32"/>
          <w:lang w:eastAsia="zh-CN"/>
        </w:rPr>
      </w:pPr>
      <w:r>
        <w:rPr>
          <w:rFonts w:hint="eastAsia" w:ascii="宋体" w:hAnsi="宋体" w:eastAsia="宋体"/>
          <w:b/>
          <w:sz w:val="32"/>
          <w:szCs w:val="32"/>
        </w:rPr>
        <w:t>法律顾问服务</w:t>
      </w:r>
      <w:r>
        <w:rPr>
          <w:rFonts w:hint="eastAsia" w:ascii="宋体" w:hAnsi="宋体" w:eastAsia="宋体"/>
          <w:b/>
          <w:sz w:val="32"/>
          <w:szCs w:val="32"/>
          <w:lang w:eastAsia="zh-CN"/>
        </w:rPr>
        <w:t>项目竞争性磋商须知：</w:t>
      </w:r>
    </w:p>
    <w:p>
      <w:pPr>
        <w:rPr>
          <w:rFonts w:ascii="宋体" w:hAnsi="宋体" w:eastAsia="宋体"/>
          <w:b/>
          <w:sz w:val="32"/>
          <w:szCs w:val="32"/>
        </w:rPr>
      </w:pPr>
    </w:p>
    <w:p>
      <w:pPr>
        <w:rPr>
          <w:rFonts w:ascii="宋体" w:hAnsi="宋体" w:eastAsia="宋体"/>
          <w:b/>
          <w:sz w:val="32"/>
          <w:szCs w:val="32"/>
        </w:rPr>
      </w:pPr>
      <w:r>
        <w:rPr>
          <w:rFonts w:hint="eastAsia" w:ascii="宋体" w:hAnsi="宋体" w:eastAsia="宋体"/>
          <w:b/>
          <w:sz w:val="32"/>
          <w:szCs w:val="32"/>
        </w:rPr>
        <w:t>一、法律服务内容：</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1、为医院日常法律问题提供咨询服务和建议；</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2、为院务决策、知识产权、基本建设、商标专利侵权、公平竞争与垄断、劳动人事、医联体合作等行政、单位管理过程涉及的法律事务,以及医院的其他有关管理、经营方面的事务的合法性、可行性、风险预测及对策提供法律依据和法律意见或出具法律意见书；</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3、为医院的民事活动提供法律分析意见或进行法律论证；</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4、对医院草拟预备发布的文件,依法提出修改或补充建议，帮助医院完善专业管理制度；</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5、审查或修改重要经营、重大合同、对外合作等项目的法律文本及其他重要法律文书；</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6、以座谈、现场咨询、讲座等现场服务方式为医院职工提供法律培训及普法教育；（一年两次）</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7、参与重要合同谈判，处理医院所涉的行政纠纷、民事纠纷、经济纠纷、劳资纠纷、医疗纠纷或其他重大纠纷，提供诉讼、仲裁等代理服务；</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8、其他非诉讼法律服务；</w:t>
      </w:r>
    </w:p>
    <w:p>
      <w:pPr>
        <w:pStyle w:val="4"/>
        <w:adjustRightInd w:val="0"/>
        <w:snapToGrid w:val="0"/>
        <w:spacing w:before="0" w:beforeAutospacing="0" w:after="0" w:afterAutospacing="0" w:line="520" w:lineRule="exact"/>
        <w:textAlignment w:val="baseline"/>
        <w:rPr>
          <w:rFonts w:ascii="仿宋" w:hAnsi="仿宋" w:eastAsia="仿宋"/>
          <w:color w:val="444444"/>
          <w:sz w:val="32"/>
          <w:szCs w:val="32"/>
        </w:rPr>
      </w:pPr>
      <w:r>
        <w:rPr>
          <w:rFonts w:hint="eastAsia" w:ascii="仿宋" w:hAnsi="仿宋" w:eastAsia="仿宋"/>
          <w:color w:val="444444"/>
          <w:sz w:val="32"/>
          <w:szCs w:val="32"/>
        </w:rPr>
        <w:t>9、跟踪国家及地方有关医疗行业的法律、法规、规章及相关政策的颁布、修订和实施情况，并向医院及时提供相关的法律信息、新规、典型案例及典型法律问题解析等；</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10、每年年底或服务期届满之前对本年的服务工作和服务内容进行总结，同时对服务期间发现的问题提出改善性的意见，并提交书面年终总结报告。</w:t>
      </w:r>
    </w:p>
    <w:p>
      <w:pPr>
        <w:adjustRightInd w:val="0"/>
        <w:snapToGrid w:val="0"/>
        <w:spacing w:line="360" w:lineRule="auto"/>
        <w:rPr>
          <w:rFonts w:ascii="宋体" w:hAnsi="宋体" w:eastAsia="宋体"/>
          <w:b/>
          <w:color w:val="444444"/>
          <w:sz w:val="32"/>
          <w:szCs w:val="32"/>
        </w:rPr>
      </w:pPr>
      <w:r>
        <w:rPr>
          <w:rFonts w:hint="eastAsia" w:ascii="宋体" w:hAnsi="宋体" w:eastAsia="宋体"/>
          <w:b/>
          <w:color w:val="444444"/>
          <w:sz w:val="32"/>
          <w:szCs w:val="32"/>
        </w:rPr>
        <w:t>二、参选要求：</w:t>
      </w:r>
    </w:p>
    <w:p>
      <w:pPr>
        <w:adjustRightInd w:val="0"/>
        <w:snapToGrid w:val="0"/>
        <w:spacing w:line="360" w:lineRule="auto"/>
        <w:rPr>
          <w:rFonts w:ascii="宋体" w:hAnsi="宋体" w:eastAsia="宋体"/>
          <w:b/>
          <w:sz w:val="32"/>
          <w:szCs w:val="32"/>
        </w:rPr>
      </w:pPr>
      <w:r>
        <w:rPr>
          <w:rFonts w:hint="eastAsia" w:ascii="宋体" w:hAnsi="宋体" w:eastAsia="宋体"/>
          <w:b/>
          <w:sz w:val="32"/>
          <w:szCs w:val="32"/>
        </w:rPr>
        <w:t>资质要求</w:t>
      </w:r>
    </w:p>
    <w:p>
      <w:pPr>
        <w:adjustRightInd w:val="0"/>
        <w:snapToGrid w:val="0"/>
        <w:spacing w:line="360" w:lineRule="auto"/>
        <w:rPr>
          <w:rFonts w:ascii="宋体" w:hAnsi="宋体" w:eastAsia="宋体"/>
          <w:b/>
          <w:color w:val="444444"/>
          <w:sz w:val="28"/>
          <w:szCs w:val="28"/>
        </w:rPr>
      </w:pPr>
      <w:r>
        <w:rPr>
          <w:rFonts w:hint="eastAsia" w:ascii="宋体" w:hAnsi="宋体" w:eastAsia="宋体"/>
          <w:b/>
          <w:color w:val="444444"/>
          <w:sz w:val="32"/>
          <w:szCs w:val="32"/>
        </w:rPr>
        <w:t>（一）、法律顾问执业单位应具备以下条件：</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1、符合《中华人民共和国政府采购法》第二十二条对供应商的要求。</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2、法律顾问律师事务所有不少于</w:t>
      </w:r>
      <w:r>
        <w:rPr>
          <w:rFonts w:hint="eastAsia" w:ascii="仿宋" w:hAnsi="仿宋" w:eastAsia="仿宋"/>
          <w:color w:val="444444"/>
          <w:sz w:val="32"/>
          <w:szCs w:val="32"/>
          <w:highlight w:val="none"/>
        </w:rPr>
        <w:t>5</w:t>
      </w:r>
      <w:r>
        <w:rPr>
          <w:rFonts w:hint="eastAsia" w:ascii="仿宋" w:hAnsi="仿宋" w:eastAsia="仿宋"/>
          <w:color w:val="444444"/>
          <w:sz w:val="32"/>
          <w:szCs w:val="32"/>
        </w:rPr>
        <w:t>名专职职业律师，其中执业5年以上的律师不少于3名；</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3、注册地址在广元市城区；</w:t>
      </w:r>
    </w:p>
    <w:p>
      <w:pPr>
        <w:adjustRightInd w:val="0"/>
        <w:snapToGrid w:val="0"/>
        <w:spacing w:line="520" w:lineRule="exact"/>
        <w:rPr>
          <w:rFonts w:hint="eastAsia" w:ascii="仿宋" w:hAnsi="仿宋" w:eastAsia="仿宋"/>
          <w:color w:val="FF0000"/>
          <w:sz w:val="32"/>
          <w:szCs w:val="32"/>
        </w:rPr>
      </w:pPr>
      <w:r>
        <w:rPr>
          <w:rFonts w:hint="eastAsia" w:ascii="仿宋" w:hAnsi="仿宋" w:eastAsia="仿宋"/>
          <w:color w:val="444444"/>
          <w:sz w:val="32"/>
          <w:szCs w:val="32"/>
        </w:rPr>
        <w:t>4、近三年有市级企事业单位法律顾问经历；</w:t>
      </w:r>
    </w:p>
    <w:p>
      <w:pPr>
        <w:adjustRightInd w:val="0"/>
        <w:snapToGrid w:val="0"/>
        <w:spacing w:line="520" w:lineRule="exact"/>
        <w:rPr>
          <w:rFonts w:ascii="仿宋" w:hAnsi="仿宋" w:eastAsia="仿宋"/>
          <w:color w:val="FF0000"/>
          <w:sz w:val="32"/>
          <w:szCs w:val="32"/>
        </w:rPr>
      </w:pPr>
      <w:r>
        <w:rPr>
          <w:rFonts w:hint="eastAsia" w:ascii="仿宋" w:hAnsi="仿宋" w:eastAsia="仿宋"/>
          <w:color w:val="444444"/>
          <w:sz w:val="32"/>
          <w:szCs w:val="32"/>
        </w:rPr>
        <w:t>5、具有丰富医疗法律法规事务实践经验，实际处理过一定数量（原则上不低于五件）的与医疗有关的诉讼和非诉讼业务；</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6、能够指派2-3名执业律师提供相应法律服务；</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7、律师执业上年度考核等级为称职以上；</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8、无违法违纪、无不良信用记录。</w:t>
      </w:r>
    </w:p>
    <w:p>
      <w:pPr>
        <w:adjustRightInd w:val="0"/>
        <w:snapToGrid w:val="0"/>
        <w:spacing w:line="520" w:lineRule="exact"/>
        <w:ind w:firstLine="675"/>
        <w:rPr>
          <w:rFonts w:ascii="仿宋" w:hAnsi="仿宋" w:eastAsia="仿宋"/>
          <w:color w:val="444444"/>
          <w:sz w:val="32"/>
          <w:szCs w:val="32"/>
        </w:rPr>
      </w:pPr>
    </w:p>
    <w:p>
      <w:pPr>
        <w:adjustRightInd w:val="0"/>
        <w:snapToGrid w:val="0"/>
        <w:spacing w:line="360" w:lineRule="auto"/>
        <w:rPr>
          <w:rFonts w:ascii="宋体" w:hAnsi="宋体" w:eastAsia="宋体"/>
          <w:b/>
          <w:color w:val="444444"/>
          <w:sz w:val="32"/>
          <w:szCs w:val="32"/>
        </w:rPr>
      </w:pPr>
      <w:r>
        <w:rPr>
          <w:rFonts w:hint="eastAsia" w:ascii="宋体" w:hAnsi="宋体" w:eastAsia="宋体"/>
          <w:b/>
          <w:color w:val="444444"/>
          <w:sz w:val="32"/>
          <w:szCs w:val="32"/>
        </w:rPr>
        <w:t>（二）接受指派担任法律顾问的律师应同时具备以下条件：</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1、执业5年以上；</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2、有不少于2年的事业单位常年法律顾问经验；</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3、熟悉行政法及医疗行业相关法律、法规、规章、制度，了解医疗政策法规特点和基本情况；实际处理过一定数量的与医疗有关的诉讼和非诉讼业务；</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4、具有良好的政治素质和职业道德，无违法违纪等不良记录。</w:t>
      </w:r>
    </w:p>
    <w:p>
      <w:pPr>
        <w:adjustRightInd w:val="0"/>
        <w:snapToGrid w:val="0"/>
        <w:spacing w:line="360" w:lineRule="auto"/>
        <w:rPr>
          <w:rFonts w:hint="eastAsia" w:ascii="宋体" w:hAnsi="宋体" w:eastAsia="宋体"/>
          <w:b/>
          <w:color w:val="444444"/>
          <w:sz w:val="32"/>
          <w:szCs w:val="32"/>
        </w:rPr>
      </w:pPr>
    </w:p>
    <w:p>
      <w:pPr>
        <w:adjustRightInd w:val="0"/>
        <w:snapToGrid w:val="0"/>
        <w:spacing w:line="360" w:lineRule="auto"/>
        <w:rPr>
          <w:rFonts w:hint="eastAsia" w:ascii="宋体" w:hAnsi="宋体" w:eastAsia="宋体"/>
          <w:b/>
          <w:color w:val="444444"/>
          <w:sz w:val="32"/>
          <w:szCs w:val="32"/>
        </w:rPr>
      </w:pPr>
    </w:p>
    <w:p>
      <w:pPr>
        <w:adjustRightInd w:val="0"/>
        <w:snapToGrid w:val="0"/>
        <w:spacing w:line="360" w:lineRule="auto"/>
        <w:rPr>
          <w:rFonts w:ascii="宋体" w:hAnsi="宋体" w:eastAsia="宋体"/>
          <w:b/>
          <w:color w:val="444444"/>
          <w:sz w:val="32"/>
          <w:szCs w:val="32"/>
        </w:rPr>
      </w:pPr>
      <w:r>
        <w:rPr>
          <w:rFonts w:hint="eastAsia" w:ascii="宋体" w:hAnsi="宋体" w:eastAsia="宋体"/>
          <w:b/>
          <w:color w:val="444444"/>
          <w:sz w:val="32"/>
          <w:szCs w:val="32"/>
        </w:rPr>
        <w:t>通用要求</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1、顾问单位应指派一名主要顾问律师，同时指定一名协助顾问律师。</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2、顾问律师应根据医院工作需要参加相关会议或出差（市内差旅费用由顾问单位解决，经医院同意的市外差旅费用由医院按标准报销）。</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3、合同或制度文件合理性审查应在接到审查任务后</w:t>
      </w:r>
      <w:r>
        <w:rPr>
          <w:rFonts w:hint="eastAsia" w:ascii="仿宋" w:hAnsi="仿宋" w:eastAsia="仿宋"/>
          <w:color w:val="444444"/>
          <w:sz w:val="32"/>
          <w:szCs w:val="32"/>
          <w:highlight w:val="none"/>
        </w:rPr>
        <w:t>（</w:t>
      </w:r>
      <w:r>
        <w:rPr>
          <w:rFonts w:hint="eastAsia" w:ascii="仿宋" w:hAnsi="仿宋" w:eastAsia="仿宋"/>
          <w:color w:val="444444"/>
          <w:sz w:val="32"/>
          <w:szCs w:val="32"/>
          <w:highlight w:val="none"/>
          <w:lang w:val="en-US" w:eastAsia="zh-CN"/>
        </w:rPr>
        <w:t>4</w:t>
      </w:r>
      <w:r>
        <w:rPr>
          <w:rFonts w:hint="eastAsia" w:ascii="仿宋" w:hAnsi="仿宋" w:eastAsia="仿宋"/>
          <w:color w:val="444444"/>
          <w:sz w:val="32"/>
          <w:szCs w:val="32"/>
          <w:highlight w:val="none"/>
        </w:rPr>
        <w:t>）</w:t>
      </w:r>
      <w:r>
        <w:rPr>
          <w:rFonts w:hint="eastAsia" w:ascii="仿宋" w:hAnsi="仿宋" w:eastAsia="仿宋"/>
          <w:color w:val="444444"/>
          <w:sz w:val="32"/>
          <w:szCs w:val="32"/>
        </w:rPr>
        <w:t>小时内完成并出具书面意见，需要进行审查前调查的除外。</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4、顾问律师对获知的商业秘密、业务信息等负有保密责任，非由法律规定或者医院同意，不得向任何第三方披露。</w:t>
      </w:r>
    </w:p>
    <w:p>
      <w:pPr>
        <w:adjustRightInd w:val="0"/>
        <w:snapToGrid w:val="0"/>
        <w:spacing w:line="520" w:lineRule="exact"/>
        <w:rPr>
          <w:rFonts w:ascii="仿宋" w:hAnsi="仿宋" w:eastAsia="仿宋"/>
          <w:color w:val="444444"/>
          <w:sz w:val="32"/>
          <w:szCs w:val="32"/>
        </w:rPr>
      </w:pPr>
      <w:r>
        <w:rPr>
          <w:rFonts w:hint="eastAsia" w:ascii="仿宋" w:hAnsi="仿宋" w:eastAsia="仿宋"/>
          <w:color w:val="444444"/>
          <w:sz w:val="32"/>
          <w:szCs w:val="32"/>
        </w:rPr>
        <w:t>5、顾问律师在担任医院法律顾问期间，在任何场合不得有损害医院利益的言行，不得为医院员工个人提供任何不利于医院咨询意见。</w:t>
      </w:r>
    </w:p>
    <w:p>
      <w:pPr>
        <w:adjustRightInd w:val="0"/>
        <w:snapToGrid w:val="0"/>
        <w:spacing w:line="360" w:lineRule="auto"/>
        <w:rPr>
          <w:rFonts w:ascii="宋体" w:hAnsi="宋体" w:eastAsia="宋体"/>
          <w:color w:val="444444"/>
          <w:sz w:val="28"/>
          <w:szCs w:val="28"/>
        </w:rPr>
      </w:pPr>
    </w:p>
    <w:p>
      <w:pPr>
        <w:adjustRightInd w:val="0"/>
        <w:snapToGrid w:val="0"/>
        <w:spacing w:line="360" w:lineRule="auto"/>
        <w:rPr>
          <w:rFonts w:ascii="宋体" w:hAnsi="宋体" w:eastAsia="宋体"/>
          <w:b/>
          <w:color w:val="444444"/>
          <w:sz w:val="32"/>
          <w:szCs w:val="32"/>
        </w:rPr>
      </w:pPr>
      <w:r>
        <w:rPr>
          <w:rFonts w:hint="eastAsia" w:ascii="宋体" w:hAnsi="宋体" w:eastAsia="宋体"/>
          <w:b/>
          <w:color w:val="444444"/>
          <w:sz w:val="32"/>
          <w:szCs w:val="32"/>
        </w:rPr>
        <w:t>三、其他</w:t>
      </w:r>
    </w:p>
    <w:p>
      <w:pPr>
        <w:adjustRightInd w:val="0"/>
        <w:snapToGrid w:val="0"/>
        <w:spacing w:line="560" w:lineRule="exact"/>
        <w:rPr>
          <w:rFonts w:ascii="宋体" w:hAnsi="宋体" w:eastAsia="宋体"/>
          <w:color w:val="444444"/>
          <w:sz w:val="32"/>
          <w:szCs w:val="32"/>
        </w:rPr>
      </w:pPr>
      <w:r>
        <w:rPr>
          <w:rFonts w:hint="eastAsia" w:ascii="宋体" w:hAnsi="宋体" w:eastAsia="宋体"/>
          <w:b/>
          <w:color w:val="444444"/>
          <w:sz w:val="32"/>
          <w:szCs w:val="32"/>
        </w:rPr>
        <w:t>服务期限：</w:t>
      </w:r>
      <w:r>
        <w:rPr>
          <w:rFonts w:hint="eastAsia" w:ascii="宋体" w:hAnsi="宋体" w:eastAsia="宋体"/>
          <w:color w:val="444444"/>
          <w:sz w:val="32"/>
          <w:szCs w:val="32"/>
          <w:lang w:eastAsia="zh-CN"/>
        </w:rPr>
        <w:t>三年</w:t>
      </w:r>
      <w:r>
        <w:rPr>
          <w:rFonts w:hint="eastAsia" w:ascii="宋体" w:hAnsi="宋体" w:eastAsia="宋体"/>
          <w:color w:val="444444"/>
          <w:sz w:val="32"/>
          <w:szCs w:val="32"/>
        </w:rPr>
        <w:t>，合同一年一签。</w:t>
      </w:r>
    </w:p>
    <w:p>
      <w:pPr>
        <w:adjustRightInd w:val="0"/>
        <w:snapToGrid w:val="0"/>
        <w:spacing w:line="560" w:lineRule="exact"/>
        <w:rPr>
          <w:rFonts w:ascii="宋体" w:hAnsi="宋体" w:eastAsia="宋体"/>
          <w:color w:val="444444"/>
          <w:sz w:val="32"/>
          <w:szCs w:val="32"/>
        </w:rPr>
      </w:pPr>
      <w:r>
        <w:rPr>
          <w:rFonts w:hint="eastAsia" w:ascii="宋体" w:hAnsi="宋体" w:eastAsia="宋体"/>
          <w:b/>
          <w:color w:val="444444"/>
          <w:sz w:val="32"/>
          <w:szCs w:val="32"/>
        </w:rPr>
        <w:t>服务费控制报价：</w:t>
      </w:r>
      <w:r>
        <w:rPr>
          <w:rFonts w:hint="eastAsia" w:ascii="宋体" w:hAnsi="宋体" w:eastAsia="宋体"/>
          <w:color w:val="444444"/>
          <w:sz w:val="32"/>
          <w:szCs w:val="32"/>
        </w:rPr>
        <w:t>不超过</w:t>
      </w:r>
      <w:r>
        <w:rPr>
          <w:rFonts w:hint="eastAsia" w:ascii="宋体" w:hAnsi="宋体" w:eastAsia="宋体"/>
          <w:color w:val="444444"/>
          <w:sz w:val="32"/>
          <w:szCs w:val="32"/>
          <w:lang w:val="en-US" w:eastAsia="zh-CN"/>
        </w:rPr>
        <w:t>3</w:t>
      </w:r>
      <w:r>
        <w:rPr>
          <w:rFonts w:hint="eastAsia" w:ascii="宋体" w:hAnsi="宋体" w:eastAsia="宋体"/>
          <w:color w:val="444444"/>
          <w:sz w:val="32"/>
          <w:szCs w:val="32"/>
        </w:rPr>
        <w:t>万元/年</w:t>
      </w:r>
    </w:p>
    <w:p>
      <w:pPr>
        <w:adjustRightInd w:val="0"/>
        <w:snapToGrid w:val="0"/>
        <w:spacing w:line="560" w:lineRule="exact"/>
        <w:rPr>
          <w:rFonts w:ascii="宋体" w:hAnsi="宋体" w:eastAsia="宋体"/>
          <w:b/>
          <w:color w:val="444444"/>
          <w:sz w:val="32"/>
          <w:szCs w:val="32"/>
        </w:rPr>
      </w:pPr>
      <w:r>
        <w:rPr>
          <w:rFonts w:hint="eastAsia" w:ascii="宋体" w:hAnsi="宋体" w:eastAsia="宋体"/>
          <w:b/>
          <w:color w:val="444444"/>
          <w:sz w:val="32"/>
          <w:szCs w:val="32"/>
        </w:rPr>
        <w:t>服务费支付方式：</w:t>
      </w:r>
    </w:p>
    <w:p>
      <w:pPr>
        <w:adjustRightInd w:val="0"/>
        <w:snapToGrid w:val="0"/>
        <w:spacing w:line="560" w:lineRule="exact"/>
        <w:rPr>
          <w:rFonts w:hint="eastAsia" w:ascii="仿宋" w:hAnsi="仿宋" w:eastAsia="仿宋"/>
          <w:color w:val="444444"/>
          <w:sz w:val="32"/>
          <w:szCs w:val="32"/>
          <w:lang w:eastAsia="zh-CN"/>
        </w:rPr>
      </w:pPr>
      <w:r>
        <w:rPr>
          <w:rFonts w:hint="eastAsia" w:ascii="仿宋" w:hAnsi="仿宋" w:eastAsia="仿宋"/>
          <w:color w:val="444444"/>
          <w:sz w:val="32"/>
          <w:szCs w:val="32"/>
        </w:rPr>
        <w:t>分期支付，共两期</w:t>
      </w:r>
      <w:r>
        <w:rPr>
          <w:rFonts w:hint="eastAsia" w:ascii="仿宋" w:hAnsi="仿宋" w:eastAsia="仿宋"/>
          <w:color w:val="444444"/>
          <w:sz w:val="32"/>
          <w:szCs w:val="32"/>
          <w:lang w:eastAsia="zh-CN"/>
        </w:rPr>
        <w:t>，每半年支付一次。</w:t>
      </w:r>
    </w:p>
    <w:p>
      <w:pPr>
        <w:adjustRightInd w:val="0"/>
        <w:snapToGrid w:val="0"/>
        <w:spacing w:line="560" w:lineRule="exact"/>
        <w:rPr>
          <w:rFonts w:ascii="宋体" w:hAnsi="宋体" w:eastAsia="宋体"/>
          <w:color w:val="444444"/>
          <w:sz w:val="32"/>
          <w:szCs w:val="32"/>
        </w:rPr>
      </w:pPr>
      <w:r>
        <w:rPr>
          <w:rFonts w:hint="eastAsia" w:ascii="宋体" w:hAnsi="宋体" w:eastAsia="宋体"/>
          <w:b/>
          <w:color w:val="444444"/>
          <w:sz w:val="32"/>
          <w:szCs w:val="32"/>
          <w:lang w:eastAsia="zh-CN"/>
        </w:rPr>
        <w:t>磋商评选</w:t>
      </w:r>
      <w:r>
        <w:rPr>
          <w:rFonts w:hint="eastAsia" w:ascii="宋体" w:hAnsi="宋体" w:eastAsia="宋体"/>
          <w:b/>
          <w:color w:val="444444"/>
          <w:sz w:val="32"/>
          <w:szCs w:val="32"/>
        </w:rPr>
        <w:t>规则：</w:t>
      </w:r>
      <w:r>
        <w:rPr>
          <w:rFonts w:hint="eastAsia" w:ascii="仿宋" w:hAnsi="仿宋" w:eastAsia="仿宋"/>
          <w:color w:val="444444"/>
          <w:sz w:val="32"/>
          <w:szCs w:val="32"/>
        </w:rPr>
        <w:t>采购人将在参选人中选择得分最高的一家律师事务所确定为法律顾问单位。</w:t>
      </w:r>
    </w:p>
    <w:p>
      <w:pPr>
        <w:adjustRightInd w:val="0"/>
        <w:snapToGrid w:val="0"/>
        <w:spacing w:line="560" w:lineRule="exact"/>
        <w:rPr>
          <w:rFonts w:ascii="宋体" w:hAnsi="宋体" w:eastAsia="宋体"/>
          <w:color w:val="444444"/>
          <w:sz w:val="32"/>
          <w:szCs w:val="32"/>
        </w:rPr>
      </w:pPr>
      <w:r>
        <w:rPr>
          <w:rFonts w:hint="eastAsia" w:ascii="宋体" w:hAnsi="宋体" w:eastAsia="宋体"/>
          <w:b/>
          <w:color w:val="444444"/>
          <w:sz w:val="32"/>
          <w:szCs w:val="32"/>
        </w:rPr>
        <w:t>单独计价服务项目</w:t>
      </w:r>
      <w:r>
        <w:rPr>
          <w:rFonts w:hint="eastAsia" w:ascii="宋体" w:hAnsi="宋体" w:eastAsia="宋体"/>
          <w:color w:val="444444"/>
          <w:sz w:val="32"/>
          <w:szCs w:val="32"/>
        </w:rPr>
        <w:t>（诉讼仲裁类业务、专项法律服务业务）</w:t>
      </w:r>
    </w:p>
    <w:p>
      <w:pPr>
        <w:spacing w:line="576" w:lineRule="exact"/>
        <w:jc w:val="center"/>
        <w:rPr>
          <w:rStyle w:val="7"/>
          <w:rFonts w:hint="eastAsia" w:ascii="宋体" w:hAnsi="宋体" w:eastAsia="宋体"/>
          <w:sz w:val="44"/>
          <w:szCs w:val="44"/>
        </w:rPr>
      </w:pPr>
    </w:p>
    <w:p>
      <w:pPr>
        <w:spacing w:line="576" w:lineRule="exact"/>
        <w:jc w:val="center"/>
        <w:rPr>
          <w:rStyle w:val="7"/>
          <w:rFonts w:hint="eastAsia" w:ascii="宋体" w:hAnsi="宋体" w:eastAsia="宋体"/>
          <w:sz w:val="44"/>
          <w:szCs w:val="44"/>
        </w:rPr>
      </w:pPr>
    </w:p>
    <w:p>
      <w:pPr>
        <w:spacing w:line="576" w:lineRule="exact"/>
        <w:jc w:val="center"/>
        <w:rPr>
          <w:rStyle w:val="7"/>
          <w:rFonts w:hint="eastAsia" w:ascii="宋体" w:hAnsi="宋体" w:eastAsia="宋体"/>
          <w:sz w:val="44"/>
          <w:szCs w:val="44"/>
        </w:rPr>
      </w:pPr>
    </w:p>
    <w:p>
      <w:pPr>
        <w:adjustRightInd w:val="0"/>
        <w:snapToGrid w:val="0"/>
        <w:spacing w:line="360" w:lineRule="auto"/>
        <w:ind w:firstLine="555"/>
        <w:rPr>
          <w:rFonts w:ascii="宋体" w:hAnsi="宋体" w:eastAsia="宋体"/>
          <w:color w:val="444444"/>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6FAA"/>
    <w:rsid w:val="00055460"/>
    <w:rsid w:val="000B1088"/>
    <w:rsid w:val="000B2386"/>
    <w:rsid w:val="00297DA5"/>
    <w:rsid w:val="002D7F30"/>
    <w:rsid w:val="002F6FAA"/>
    <w:rsid w:val="00307CEF"/>
    <w:rsid w:val="00522B0A"/>
    <w:rsid w:val="00604FB9"/>
    <w:rsid w:val="00644DE8"/>
    <w:rsid w:val="006718D4"/>
    <w:rsid w:val="006C5C45"/>
    <w:rsid w:val="006F0479"/>
    <w:rsid w:val="006F1183"/>
    <w:rsid w:val="00726CF8"/>
    <w:rsid w:val="007C6196"/>
    <w:rsid w:val="007F4322"/>
    <w:rsid w:val="008A15B4"/>
    <w:rsid w:val="00953A40"/>
    <w:rsid w:val="00A35823"/>
    <w:rsid w:val="00AB1056"/>
    <w:rsid w:val="00AF2550"/>
    <w:rsid w:val="00B1688C"/>
    <w:rsid w:val="00B40551"/>
    <w:rsid w:val="00B52119"/>
    <w:rsid w:val="00B837ED"/>
    <w:rsid w:val="00D06B20"/>
    <w:rsid w:val="00D07B25"/>
    <w:rsid w:val="00D23132"/>
    <w:rsid w:val="00D23FA5"/>
    <w:rsid w:val="00D910C3"/>
    <w:rsid w:val="00E63223"/>
    <w:rsid w:val="00E870A5"/>
    <w:rsid w:val="00EE102B"/>
    <w:rsid w:val="00EE3360"/>
    <w:rsid w:val="00EE510D"/>
    <w:rsid w:val="00F226D0"/>
    <w:rsid w:val="00F76F9D"/>
    <w:rsid w:val="00F86C28"/>
    <w:rsid w:val="05363DCF"/>
    <w:rsid w:val="1CFF664F"/>
    <w:rsid w:val="1F70574E"/>
    <w:rsid w:val="28E84A71"/>
    <w:rsid w:val="2C53596D"/>
    <w:rsid w:val="33F804CD"/>
    <w:rsid w:val="3B0D0A44"/>
    <w:rsid w:val="41585AC3"/>
    <w:rsid w:val="44633F10"/>
    <w:rsid w:val="5197226B"/>
    <w:rsid w:val="627678F9"/>
    <w:rsid w:val="7D8E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NormalCharacter"/>
    <w:qFormat/>
    <w:uiPriority w:val="0"/>
  </w:style>
  <w:style w:type="paragraph" w:customStyle="1" w:styleId="8">
    <w:name w:val="UserStyle_0"/>
    <w:basedOn w:val="1"/>
    <w:qFormat/>
    <w:uiPriority w:val="0"/>
    <w:pPr>
      <w:widowControl/>
      <w:suppressAutoHyphens/>
      <w:spacing w:line="360" w:lineRule="auto"/>
      <w:ind w:firstLine="480" w:firstLineChars="200"/>
      <w:textAlignment w:val="baseline"/>
    </w:pPr>
    <w:rPr>
      <w:rFonts w:ascii="宋体" w:hAnsi="宋体" w:eastAsia="宋体" w:cs="Times New Roman"/>
      <w:color w:val="000000"/>
      <w:kern w:val="0"/>
      <w:sz w:val="24"/>
      <w:szCs w:val="24"/>
    </w:rPr>
  </w:style>
  <w:style w:type="paragraph" w:customStyle="1" w:styleId="9">
    <w:name w:val="HtmlNormal"/>
    <w:basedOn w:val="1"/>
    <w:qFormat/>
    <w:uiPriority w:val="0"/>
    <w:pPr>
      <w:widowControl/>
      <w:suppressAutoHyphens/>
      <w:spacing w:before="100" w:beforeAutospacing="1" w:after="100" w:afterAutospacing="1"/>
      <w:jc w:val="left"/>
      <w:textAlignment w:val="baseline"/>
    </w:pPr>
    <w:rPr>
      <w:rFonts w:ascii="Calibri" w:hAnsi="Calibri" w:eastAsia="宋体" w:cs="Times New Roman"/>
      <w:color w:val="000000"/>
      <w:kern w:val="0"/>
      <w:sz w:val="24"/>
      <w:szCs w:val="24"/>
    </w:rPr>
  </w:style>
  <w:style w:type="character" w:customStyle="1" w:styleId="10">
    <w:name w:val="PageNumber"/>
    <w:basedOn w:val="7"/>
    <w:qFormat/>
    <w:uiPriority w:val="0"/>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7D36-EB52-45AA-9A04-7B233A91FE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383</Words>
  <Characters>2189</Characters>
  <Lines>18</Lines>
  <Paragraphs>5</Paragraphs>
  <TotalTime>18</TotalTime>
  <ScaleCrop>false</ScaleCrop>
  <LinksUpToDate>false</LinksUpToDate>
  <CharactersWithSpaces>2567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2022-07-25T06:07:00Z</dcterms:created>
  <dc:creator>微软用户</dc:creator>
  <cp:lastModifiedBy>书香秋韵</cp:lastModifiedBy>
  <dcterms:modified xsi:type="dcterms:W3CDTF">2022-12-23T00:35:50Z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069DCEC328FB40EEA26B1484D4579173</vt:lpwstr>
  </property>
</Properties>
</file>