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atLeast"/>
        <w:jc w:val="both"/>
        <w:rPr>
          <w:rFonts w:ascii="微软雅黑" w:hAnsi="微软雅黑" w:eastAsia="微软雅黑"/>
          <w:kern w:val="0"/>
          <w:sz w:val="27"/>
          <w:szCs w:val="27"/>
        </w:rPr>
      </w:pPr>
      <w:r>
        <w:rPr>
          <w:rFonts w:hint="eastAsia" w:ascii="微软雅黑" w:hAnsi="微软雅黑" w:eastAsia="微软雅黑"/>
          <w:kern w:val="0"/>
          <w:sz w:val="27"/>
          <w:szCs w:val="27"/>
        </w:rPr>
        <w:t>广元市精神卫生中心</w:t>
      </w:r>
      <w:r>
        <w:rPr>
          <w:rFonts w:hint="eastAsia" w:ascii="微软雅黑" w:hAnsi="微软雅黑" w:eastAsia="微软雅黑"/>
          <w:kern w:val="0"/>
          <w:sz w:val="27"/>
          <w:szCs w:val="27"/>
          <w:lang w:val="en-US" w:eastAsia="zh-CN"/>
        </w:rPr>
        <w:t>拟采购</w:t>
      </w:r>
      <w:r>
        <w:rPr>
          <w:rFonts w:hint="eastAsia" w:ascii="微软雅黑" w:hAnsi="微软雅黑" w:eastAsia="微软雅黑"/>
          <w:kern w:val="0"/>
          <w:sz w:val="27"/>
          <w:szCs w:val="27"/>
        </w:rPr>
        <w:t>广元市精神卫生综合服务管理平台项目</w:t>
      </w:r>
    </w:p>
    <w:p>
      <w:pPr>
        <w:widowControl/>
        <w:spacing w:line="420" w:lineRule="atLeast"/>
        <w:jc w:val="center"/>
        <w:rPr>
          <w:rFonts w:ascii="微软雅黑" w:hAnsi="微软雅黑" w:eastAsia="微软雅黑"/>
          <w:kern w:val="0"/>
          <w:sz w:val="27"/>
          <w:szCs w:val="27"/>
        </w:rPr>
      </w:pPr>
      <w:bookmarkStart w:id="0" w:name="_GoBack"/>
      <w:bookmarkEnd w:id="0"/>
      <w:r>
        <w:rPr>
          <w:rFonts w:hint="eastAsia" w:ascii="微软雅黑" w:hAnsi="微软雅黑" w:eastAsia="微软雅黑"/>
          <w:kern w:val="0"/>
          <w:sz w:val="27"/>
          <w:szCs w:val="27"/>
        </w:rPr>
        <w:t>市场询价清单及要求</w:t>
      </w:r>
    </w:p>
    <w:p>
      <w:pPr>
        <w:widowControl/>
        <w:spacing w:line="420" w:lineRule="atLeast"/>
        <w:jc w:val="left"/>
        <w:rPr>
          <w:rFonts w:ascii="微软雅黑" w:hAnsi="微软雅黑" w:eastAsia="微软雅黑"/>
          <w:kern w:val="0"/>
          <w:sz w:val="24"/>
          <w:szCs w:val="24"/>
        </w:rPr>
      </w:pPr>
      <w:r>
        <w:rPr>
          <w:rFonts w:hint="eastAsia" w:ascii="微软雅黑" w:hAnsi="微软雅黑" w:eastAsia="微软雅黑"/>
          <w:kern w:val="0"/>
          <w:sz w:val="24"/>
          <w:szCs w:val="24"/>
        </w:rPr>
        <w:t>（一）采购服务内容：</w:t>
      </w:r>
    </w:p>
    <w:tbl>
      <w:tblPr>
        <w:tblStyle w:val="10"/>
        <w:tblW w:w="8029" w:type="dxa"/>
        <w:jc w:val="center"/>
        <w:tblLayout w:type="fixed"/>
        <w:tblCellMar>
          <w:top w:w="0" w:type="dxa"/>
          <w:left w:w="108" w:type="dxa"/>
          <w:bottom w:w="0" w:type="dxa"/>
          <w:right w:w="108" w:type="dxa"/>
        </w:tblCellMar>
      </w:tblPr>
      <w:tblGrid>
        <w:gridCol w:w="1032"/>
        <w:gridCol w:w="2799"/>
        <w:gridCol w:w="1108"/>
        <w:gridCol w:w="1586"/>
        <w:gridCol w:w="1504"/>
      </w:tblGrid>
      <w:tr>
        <w:tblPrEx>
          <w:tblCellMar>
            <w:top w:w="0" w:type="dxa"/>
            <w:left w:w="108" w:type="dxa"/>
            <w:bottom w:w="0" w:type="dxa"/>
            <w:right w:w="108" w:type="dxa"/>
          </w:tblCellMar>
        </w:tblPrEx>
        <w:trPr>
          <w:trHeight w:val="283" w:hRule="atLeast"/>
          <w:jc w:val="center"/>
        </w:trPr>
        <w:tc>
          <w:tcPr>
            <w:tcW w:w="1032" w:type="dxa"/>
            <w:tcBorders>
              <w:top w:val="single" w:color="auto" w:sz="4" w:space="0"/>
              <w:left w:val="single" w:color="auto" w:sz="4" w:space="0"/>
              <w:bottom w:val="single" w:color="auto" w:sz="4" w:space="0"/>
              <w:right w:val="single" w:color="auto" w:sz="4" w:space="0"/>
            </w:tcBorders>
            <w:noWrap/>
            <w:vAlign w:val="bottom"/>
          </w:tcPr>
          <w:p>
            <w:pPr>
              <w:widowControl/>
              <w:spacing w:line="420" w:lineRule="atLeast"/>
              <w:jc w:val="center"/>
              <w:rPr>
                <w:rFonts w:ascii="微软雅黑" w:hAnsi="微软雅黑" w:eastAsia="微软雅黑"/>
                <w:kern w:val="0"/>
                <w:sz w:val="24"/>
                <w:szCs w:val="24"/>
              </w:rPr>
            </w:pPr>
            <w:r>
              <w:rPr>
                <w:rFonts w:hint="eastAsia" w:ascii="微软雅黑" w:hAnsi="微软雅黑" w:eastAsia="微软雅黑"/>
                <w:kern w:val="0"/>
                <w:sz w:val="24"/>
                <w:szCs w:val="24"/>
              </w:rPr>
              <w:t>序号</w:t>
            </w:r>
          </w:p>
        </w:tc>
        <w:tc>
          <w:tcPr>
            <w:tcW w:w="2799" w:type="dxa"/>
            <w:tcBorders>
              <w:top w:val="single" w:color="auto" w:sz="4" w:space="0"/>
              <w:left w:val="nil"/>
              <w:bottom w:val="single" w:color="auto" w:sz="4" w:space="0"/>
              <w:right w:val="single" w:color="auto" w:sz="4" w:space="0"/>
            </w:tcBorders>
            <w:noWrap/>
            <w:vAlign w:val="bottom"/>
          </w:tcPr>
          <w:p>
            <w:pPr>
              <w:widowControl/>
              <w:spacing w:line="420" w:lineRule="atLeast"/>
              <w:jc w:val="center"/>
              <w:rPr>
                <w:rFonts w:ascii="微软雅黑" w:hAnsi="微软雅黑" w:eastAsia="微软雅黑"/>
                <w:kern w:val="0"/>
                <w:sz w:val="24"/>
                <w:szCs w:val="24"/>
              </w:rPr>
            </w:pPr>
            <w:r>
              <w:rPr>
                <w:rFonts w:hint="eastAsia" w:ascii="微软雅黑" w:hAnsi="微软雅黑" w:eastAsia="微软雅黑"/>
                <w:kern w:val="0"/>
                <w:sz w:val="24"/>
                <w:szCs w:val="24"/>
              </w:rPr>
              <w:t>服务项目名称</w:t>
            </w:r>
          </w:p>
        </w:tc>
        <w:tc>
          <w:tcPr>
            <w:tcW w:w="1108" w:type="dxa"/>
            <w:tcBorders>
              <w:top w:val="single" w:color="auto" w:sz="4" w:space="0"/>
              <w:left w:val="nil"/>
              <w:bottom w:val="single" w:color="auto" w:sz="4" w:space="0"/>
              <w:right w:val="single" w:color="auto" w:sz="4" w:space="0"/>
            </w:tcBorders>
            <w:noWrap/>
            <w:vAlign w:val="bottom"/>
          </w:tcPr>
          <w:p>
            <w:pPr>
              <w:widowControl/>
              <w:spacing w:line="420" w:lineRule="atLeast"/>
              <w:jc w:val="center"/>
              <w:rPr>
                <w:rFonts w:ascii="微软雅黑" w:hAnsi="微软雅黑" w:eastAsia="微软雅黑"/>
                <w:kern w:val="0"/>
                <w:sz w:val="24"/>
                <w:szCs w:val="24"/>
              </w:rPr>
            </w:pPr>
            <w:r>
              <w:rPr>
                <w:rFonts w:hint="eastAsia" w:ascii="微软雅黑" w:hAnsi="微软雅黑" w:eastAsia="微软雅黑"/>
                <w:kern w:val="0"/>
                <w:sz w:val="24"/>
                <w:szCs w:val="24"/>
              </w:rPr>
              <w:t>单位</w:t>
            </w:r>
          </w:p>
        </w:tc>
        <w:tc>
          <w:tcPr>
            <w:tcW w:w="1586" w:type="dxa"/>
            <w:tcBorders>
              <w:top w:val="single" w:color="auto" w:sz="4" w:space="0"/>
              <w:left w:val="nil"/>
              <w:bottom w:val="single" w:color="auto" w:sz="4" w:space="0"/>
              <w:right w:val="single" w:color="auto" w:sz="4" w:space="0"/>
            </w:tcBorders>
            <w:noWrap/>
            <w:vAlign w:val="bottom"/>
          </w:tcPr>
          <w:p>
            <w:pPr>
              <w:widowControl/>
              <w:spacing w:line="420" w:lineRule="atLeast"/>
              <w:jc w:val="center"/>
              <w:rPr>
                <w:rFonts w:ascii="微软雅黑" w:hAnsi="微软雅黑" w:eastAsia="微软雅黑"/>
                <w:kern w:val="0"/>
                <w:sz w:val="24"/>
                <w:szCs w:val="24"/>
              </w:rPr>
            </w:pPr>
            <w:r>
              <w:rPr>
                <w:rFonts w:hint="eastAsia" w:ascii="微软雅黑" w:hAnsi="微软雅黑" w:eastAsia="微软雅黑"/>
                <w:kern w:val="0"/>
                <w:sz w:val="24"/>
                <w:szCs w:val="24"/>
              </w:rPr>
              <w:t>数量</w:t>
            </w:r>
          </w:p>
        </w:tc>
        <w:tc>
          <w:tcPr>
            <w:tcW w:w="1504" w:type="dxa"/>
            <w:tcBorders>
              <w:top w:val="single" w:color="auto" w:sz="4" w:space="0"/>
              <w:left w:val="nil"/>
              <w:bottom w:val="single" w:color="auto" w:sz="4" w:space="0"/>
              <w:right w:val="single" w:color="auto" w:sz="4" w:space="0"/>
            </w:tcBorders>
            <w:noWrap/>
            <w:vAlign w:val="bottom"/>
          </w:tcPr>
          <w:p>
            <w:pPr>
              <w:widowControl/>
              <w:spacing w:line="420" w:lineRule="atLeast"/>
              <w:jc w:val="center"/>
              <w:rPr>
                <w:rFonts w:ascii="微软雅黑" w:hAnsi="微软雅黑" w:eastAsia="微软雅黑"/>
                <w:kern w:val="0"/>
                <w:sz w:val="24"/>
                <w:szCs w:val="24"/>
              </w:rPr>
            </w:pPr>
            <w:r>
              <w:rPr>
                <w:rFonts w:hint="eastAsia" w:ascii="微软雅黑" w:hAnsi="微软雅黑" w:eastAsia="微软雅黑"/>
                <w:kern w:val="0"/>
                <w:sz w:val="24"/>
                <w:szCs w:val="24"/>
              </w:rPr>
              <w:t>备注</w:t>
            </w:r>
          </w:p>
        </w:tc>
      </w:tr>
      <w:tr>
        <w:tblPrEx>
          <w:tblCellMar>
            <w:top w:w="0" w:type="dxa"/>
            <w:left w:w="108" w:type="dxa"/>
            <w:bottom w:w="0" w:type="dxa"/>
            <w:right w:w="108" w:type="dxa"/>
          </w:tblCellMar>
        </w:tblPrEx>
        <w:trPr>
          <w:trHeight w:val="283" w:hRule="atLeast"/>
          <w:jc w:val="center"/>
        </w:trPr>
        <w:tc>
          <w:tcPr>
            <w:tcW w:w="1032" w:type="dxa"/>
            <w:tcBorders>
              <w:top w:val="nil"/>
              <w:left w:val="single" w:color="auto" w:sz="4" w:space="0"/>
              <w:bottom w:val="single" w:color="auto" w:sz="4" w:space="0"/>
              <w:right w:val="single" w:color="auto" w:sz="4" w:space="0"/>
            </w:tcBorders>
            <w:noWrap/>
            <w:vAlign w:val="center"/>
          </w:tcPr>
          <w:p>
            <w:pPr>
              <w:widowControl/>
              <w:spacing w:line="420" w:lineRule="atLeast"/>
              <w:jc w:val="center"/>
              <w:rPr>
                <w:rFonts w:ascii="微软雅黑" w:hAnsi="微软雅黑" w:eastAsia="微软雅黑"/>
                <w:kern w:val="0"/>
                <w:sz w:val="24"/>
                <w:szCs w:val="24"/>
              </w:rPr>
            </w:pPr>
            <w:r>
              <w:rPr>
                <w:rFonts w:hint="eastAsia" w:ascii="微软雅黑" w:hAnsi="微软雅黑" w:eastAsia="微软雅黑"/>
                <w:kern w:val="0"/>
                <w:sz w:val="24"/>
                <w:szCs w:val="24"/>
              </w:rPr>
              <w:t>1</w:t>
            </w:r>
          </w:p>
        </w:tc>
        <w:tc>
          <w:tcPr>
            <w:tcW w:w="2799" w:type="dxa"/>
            <w:tcBorders>
              <w:top w:val="nil"/>
              <w:left w:val="nil"/>
              <w:bottom w:val="single" w:color="auto" w:sz="4" w:space="0"/>
              <w:right w:val="single" w:color="auto" w:sz="4" w:space="0"/>
            </w:tcBorders>
            <w:noWrap/>
            <w:vAlign w:val="bottom"/>
          </w:tcPr>
          <w:p>
            <w:pPr>
              <w:widowControl/>
              <w:spacing w:line="420" w:lineRule="atLeast"/>
              <w:jc w:val="center"/>
              <w:rPr>
                <w:rFonts w:ascii="微软雅黑" w:hAnsi="微软雅黑" w:eastAsia="微软雅黑"/>
                <w:kern w:val="0"/>
                <w:sz w:val="24"/>
                <w:szCs w:val="24"/>
              </w:rPr>
            </w:pPr>
            <w:r>
              <w:rPr>
                <w:rFonts w:hint="eastAsia" w:ascii="微软雅黑" w:hAnsi="微软雅黑" w:eastAsia="微软雅黑"/>
                <w:kern w:val="0"/>
                <w:sz w:val="24"/>
                <w:szCs w:val="24"/>
              </w:rPr>
              <w:t>广元市精神卫生综合服务管理平台</w:t>
            </w:r>
          </w:p>
        </w:tc>
        <w:tc>
          <w:tcPr>
            <w:tcW w:w="1108" w:type="dxa"/>
            <w:tcBorders>
              <w:top w:val="nil"/>
              <w:left w:val="nil"/>
              <w:bottom w:val="single" w:color="auto" w:sz="4" w:space="0"/>
              <w:right w:val="single" w:color="auto" w:sz="4" w:space="0"/>
            </w:tcBorders>
            <w:noWrap/>
            <w:vAlign w:val="center"/>
          </w:tcPr>
          <w:p>
            <w:pPr>
              <w:widowControl/>
              <w:spacing w:line="420" w:lineRule="atLeast"/>
              <w:jc w:val="center"/>
              <w:rPr>
                <w:rFonts w:ascii="微软雅黑" w:hAnsi="微软雅黑" w:eastAsia="微软雅黑"/>
                <w:kern w:val="0"/>
                <w:sz w:val="24"/>
                <w:szCs w:val="24"/>
              </w:rPr>
            </w:pPr>
            <w:r>
              <w:rPr>
                <w:rFonts w:hint="eastAsia" w:ascii="微软雅黑" w:hAnsi="微软雅黑" w:eastAsia="微软雅黑"/>
                <w:kern w:val="0"/>
                <w:sz w:val="24"/>
                <w:szCs w:val="24"/>
              </w:rPr>
              <w:t>套</w:t>
            </w:r>
          </w:p>
        </w:tc>
        <w:tc>
          <w:tcPr>
            <w:tcW w:w="1586" w:type="dxa"/>
            <w:tcBorders>
              <w:top w:val="nil"/>
              <w:left w:val="nil"/>
              <w:bottom w:val="single" w:color="auto" w:sz="4" w:space="0"/>
              <w:right w:val="single" w:color="auto" w:sz="4" w:space="0"/>
            </w:tcBorders>
            <w:noWrap/>
            <w:vAlign w:val="center"/>
          </w:tcPr>
          <w:p>
            <w:pPr>
              <w:widowControl/>
              <w:spacing w:line="420" w:lineRule="atLeast"/>
              <w:ind w:firstLine="480"/>
              <w:rPr>
                <w:rFonts w:ascii="微软雅黑" w:hAnsi="微软雅黑" w:eastAsia="微软雅黑"/>
                <w:kern w:val="0"/>
                <w:sz w:val="24"/>
                <w:szCs w:val="24"/>
              </w:rPr>
            </w:pPr>
            <w:r>
              <w:rPr>
                <w:rFonts w:ascii="微软雅黑" w:hAnsi="微软雅黑" w:eastAsia="微软雅黑"/>
                <w:kern w:val="0"/>
                <w:sz w:val="24"/>
                <w:szCs w:val="24"/>
              </w:rPr>
              <w:t>1</w:t>
            </w:r>
          </w:p>
        </w:tc>
        <w:tc>
          <w:tcPr>
            <w:tcW w:w="1504" w:type="dxa"/>
            <w:tcBorders>
              <w:top w:val="nil"/>
              <w:left w:val="nil"/>
              <w:bottom w:val="single" w:color="auto" w:sz="4" w:space="0"/>
              <w:right w:val="single" w:color="auto" w:sz="4" w:space="0"/>
            </w:tcBorders>
            <w:noWrap/>
            <w:vAlign w:val="center"/>
          </w:tcPr>
          <w:p>
            <w:pPr>
              <w:widowControl/>
              <w:spacing w:line="420" w:lineRule="atLeast"/>
              <w:jc w:val="left"/>
              <w:rPr>
                <w:rFonts w:ascii="微软雅黑" w:hAnsi="微软雅黑" w:eastAsia="微软雅黑"/>
                <w:kern w:val="0"/>
                <w:sz w:val="24"/>
                <w:szCs w:val="24"/>
              </w:rPr>
            </w:pPr>
          </w:p>
        </w:tc>
      </w:tr>
    </w:tbl>
    <w:p>
      <w:pPr>
        <w:pStyle w:val="2"/>
      </w:pPr>
    </w:p>
    <w:p>
      <w:pPr>
        <w:jc w:val="left"/>
        <w:rPr>
          <w:rFonts w:ascii="微软雅黑" w:hAnsi="微软雅黑" w:eastAsia="微软雅黑"/>
          <w:kern w:val="0"/>
          <w:sz w:val="24"/>
          <w:szCs w:val="24"/>
        </w:rPr>
      </w:pPr>
      <w:r>
        <w:rPr>
          <w:rFonts w:hint="eastAsia" w:ascii="微软雅黑" w:hAnsi="微软雅黑" w:eastAsia="微软雅黑"/>
          <w:kern w:val="0"/>
          <w:sz w:val="24"/>
          <w:szCs w:val="24"/>
        </w:rPr>
        <w:t>（二）项目实现效果：</w:t>
      </w:r>
    </w:p>
    <w:p>
      <w:pPr>
        <w:jc w:val="left"/>
        <w:rPr>
          <w:rFonts w:ascii="微软雅黑" w:hAnsi="微软雅黑" w:eastAsia="微软雅黑"/>
          <w:sz w:val="24"/>
          <w:szCs w:val="24"/>
        </w:rPr>
      </w:pPr>
      <w:r>
        <w:rPr>
          <w:rFonts w:hint="eastAsia" w:ascii="微软雅黑" w:hAnsi="微软雅黑" w:eastAsia="微软雅黑"/>
          <w:b/>
          <w:sz w:val="24"/>
          <w:szCs w:val="24"/>
        </w:rPr>
        <w:t>精神障碍患者的筛查服务：</w:t>
      </w:r>
      <w:r>
        <w:rPr>
          <w:rFonts w:hint="eastAsia" w:ascii="微软雅黑" w:hAnsi="微软雅黑" w:eastAsia="微软雅黑"/>
          <w:sz w:val="24"/>
          <w:szCs w:val="24"/>
        </w:rPr>
        <w:t>向基层赋能，支</w:t>
      </w:r>
      <w:r>
        <w:rPr>
          <w:rFonts w:hint="eastAsia" w:ascii="微软雅黑" w:hAnsi="微软雅黑" w:eastAsia="微软雅黑"/>
          <w:bCs/>
          <w:sz w:val="24"/>
          <w:szCs w:val="24"/>
        </w:rPr>
        <w:t>持</w:t>
      </w:r>
      <w:r>
        <w:rPr>
          <w:rFonts w:hint="eastAsia" w:ascii="微软雅黑" w:hAnsi="微软雅黑" w:eastAsia="微软雅黑"/>
          <w:sz w:val="24"/>
          <w:szCs w:val="24"/>
        </w:rPr>
        <w:t>开展面向六大类严重精神障碍、抑郁症、焦虑症、老年痴呆症、睡眠障碍、儿童青少年心理障碍等重点人群的测评与远程诊断筛查服务。</w:t>
      </w:r>
    </w:p>
    <w:p>
      <w:pPr>
        <w:jc w:val="left"/>
        <w:rPr>
          <w:rFonts w:ascii="微软雅黑" w:hAnsi="微软雅黑" w:eastAsia="微软雅黑"/>
          <w:sz w:val="24"/>
          <w:szCs w:val="24"/>
        </w:rPr>
      </w:pPr>
      <w:r>
        <w:rPr>
          <w:rFonts w:hint="eastAsia" w:ascii="微软雅黑" w:hAnsi="微软雅黑" w:eastAsia="微软雅黑"/>
          <w:b/>
          <w:sz w:val="24"/>
          <w:szCs w:val="24"/>
        </w:rPr>
        <w:t>常见精神障碍患者的档案化管理：</w:t>
      </w:r>
      <w:r>
        <w:rPr>
          <w:rFonts w:hint="eastAsia" w:ascii="微软雅黑" w:hAnsi="微软雅黑" w:eastAsia="微软雅黑"/>
          <w:sz w:val="24"/>
          <w:szCs w:val="24"/>
        </w:rPr>
        <w:t>开展抑郁症、焦虑症、老年痴呆症、睡眠障碍、儿童青少年心理障碍等重点人群的评估、干预治疗、建档、随访、应急处置、用药服务、院内诊疗服务预约等业务工作的电子化管理。</w:t>
      </w:r>
    </w:p>
    <w:p>
      <w:pPr>
        <w:jc w:val="left"/>
        <w:rPr>
          <w:rFonts w:ascii="微软雅黑" w:hAnsi="微软雅黑" w:eastAsia="微软雅黑"/>
          <w:sz w:val="24"/>
          <w:szCs w:val="24"/>
        </w:rPr>
      </w:pPr>
      <w:r>
        <w:rPr>
          <w:rFonts w:hint="eastAsia" w:ascii="微软雅黑" w:hAnsi="微软雅黑" w:eastAsia="微软雅黑"/>
          <w:b/>
          <w:sz w:val="24"/>
          <w:szCs w:val="24"/>
        </w:rPr>
        <w:t>网格协同化服务：</w:t>
      </w:r>
      <w:r>
        <w:rPr>
          <w:rFonts w:hint="eastAsia" w:ascii="微软雅黑" w:hAnsi="微软雅黑" w:eastAsia="微软雅黑"/>
          <w:sz w:val="24"/>
          <w:szCs w:val="24"/>
        </w:rPr>
        <w:t>在我院与基层医疗卫生机构之间开展分级管理的协同服务，形成连续性的服务链条，多种角色共同参与实现精神卫生与心理健康服务的闭环化管理。服务内容涵盖健康科普教育、在线咨询、心理预防、量表测评、筛查上报、高危预警、就诊引导等多种类型业务。</w:t>
      </w:r>
    </w:p>
    <w:p>
      <w:pPr>
        <w:jc w:val="left"/>
        <w:rPr>
          <w:rFonts w:ascii="微软雅黑" w:hAnsi="微软雅黑" w:eastAsia="微软雅黑"/>
          <w:sz w:val="24"/>
          <w:szCs w:val="24"/>
        </w:rPr>
      </w:pPr>
      <w:r>
        <w:rPr>
          <w:rFonts w:hint="eastAsia" w:ascii="微软雅黑" w:hAnsi="微软雅黑" w:eastAsia="微软雅黑"/>
          <w:b/>
          <w:sz w:val="24"/>
          <w:szCs w:val="24"/>
        </w:rPr>
        <w:t>社会心理预防与援助个体化服务：</w:t>
      </w:r>
      <w:r>
        <w:rPr>
          <w:rFonts w:hint="eastAsia" w:ascii="微软雅黑" w:hAnsi="微软雅黑" w:eastAsia="微软雅黑"/>
          <w:sz w:val="24"/>
          <w:szCs w:val="24"/>
        </w:rPr>
        <w:t>通过微信公众号等互联网服务窗口，面向公众开展心理卫生方面的健康科普教育、在线咨询、心理自测、干预和救助等移动化服务，完成公众社会心理健康数据的采集，并有效实现高风险个案的预警与转介。</w:t>
      </w:r>
    </w:p>
    <w:p>
      <w:pPr>
        <w:jc w:val="left"/>
        <w:rPr>
          <w:rFonts w:ascii="微软雅黑" w:hAnsi="微软雅黑" w:eastAsia="微软雅黑"/>
          <w:sz w:val="24"/>
          <w:szCs w:val="24"/>
        </w:rPr>
      </w:pPr>
      <w:r>
        <w:rPr>
          <w:rFonts w:hint="eastAsia" w:ascii="微软雅黑" w:hAnsi="微软雅黑" w:eastAsia="微软雅黑"/>
          <w:b/>
          <w:sz w:val="24"/>
          <w:szCs w:val="24"/>
        </w:rPr>
        <w:t>社会心理预防与援助团体化服务：</w:t>
      </w:r>
      <w:r>
        <w:rPr>
          <w:rFonts w:hint="eastAsia" w:ascii="微软雅黑" w:hAnsi="微软雅黑" w:eastAsia="微软雅黑"/>
          <w:sz w:val="24"/>
          <w:szCs w:val="24"/>
        </w:rPr>
        <w:t>开展面向学校、企业、政府机构、社会团体的心理健康专家团体服务，形成规范化的工作管理机制，按人群分类定义有针对性的健康宣教及筛查评估方案，获取群体与成员的心理健康评估结果，有效实现区域群体性心理健康肖像刻画以及个人心理健康档案数据的收集和汇总。</w:t>
      </w:r>
    </w:p>
    <w:p>
      <w:pPr>
        <w:pStyle w:val="2"/>
        <w:rPr>
          <w:rFonts w:ascii="微软雅黑" w:hAnsi="微软雅黑" w:eastAsia="微软雅黑"/>
          <w:bCs/>
          <w:color w:val="auto"/>
          <w:szCs w:val="24"/>
        </w:rPr>
      </w:pPr>
      <w:r>
        <w:rPr>
          <w:rFonts w:hint="eastAsia" w:ascii="微软雅黑" w:hAnsi="微软雅黑" w:eastAsia="微软雅黑"/>
          <w:b/>
          <w:color w:val="auto"/>
          <w:szCs w:val="24"/>
        </w:rPr>
        <w:t>数据统计分析功能：</w:t>
      </w:r>
      <w:r>
        <w:rPr>
          <w:rFonts w:hint="eastAsia" w:ascii="微软雅黑" w:hAnsi="微软雅黑" w:eastAsia="微软雅黑"/>
          <w:bCs/>
          <w:color w:val="auto"/>
          <w:szCs w:val="24"/>
        </w:rPr>
        <w:t>通过建设基于BI系统的数据统计分析功能，实现面向平台全体业务及管理人员的工作概要信息统计与日常工作管理数据的统计分析。</w:t>
      </w:r>
    </w:p>
    <w:p>
      <w:pPr>
        <w:pStyle w:val="2"/>
        <w:rPr>
          <w:color w:val="auto"/>
        </w:rPr>
      </w:pPr>
      <w:r>
        <w:rPr>
          <w:rFonts w:hint="eastAsia" w:ascii="微软雅黑" w:hAnsi="微软雅黑" w:eastAsia="微软雅黑"/>
          <w:b/>
          <w:color w:val="auto"/>
          <w:szCs w:val="24"/>
        </w:rPr>
        <w:t>严重精神障碍筛查数据交换能力</w:t>
      </w:r>
      <w:r>
        <w:rPr>
          <w:rFonts w:hint="eastAsia" w:ascii="微软雅黑" w:hAnsi="微软雅黑" w:eastAsia="微软雅黑"/>
          <w:color w:val="auto"/>
          <w:szCs w:val="24"/>
        </w:rPr>
        <w:t>：对接四川省严重精神障碍综合管理信息平台，有效将市级管理数据推送至省级平台，保障数据安全性。</w:t>
      </w:r>
    </w:p>
    <w:p>
      <w:pPr>
        <w:jc w:val="left"/>
        <w:rPr>
          <w:rFonts w:ascii="微软雅黑" w:hAnsi="微软雅黑" w:eastAsia="微软雅黑"/>
          <w:sz w:val="24"/>
          <w:szCs w:val="24"/>
        </w:rPr>
      </w:pPr>
      <w:r>
        <w:rPr>
          <w:rFonts w:hint="eastAsia" w:ascii="微软雅黑" w:hAnsi="微软雅黑" w:eastAsia="微软雅黑"/>
          <w:b/>
          <w:sz w:val="24"/>
          <w:szCs w:val="24"/>
        </w:rPr>
        <w:t>社会心理健康数据交换能力</w:t>
      </w:r>
      <w:r>
        <w:rPr>
          <w:rFonts w:hint="eastAsia" w:ascii="微软雅黑" w:hAnsi="微软雅黑" w:eastAsia="微软雅黑"/>
          <w:sz w:val="24"/>
          <w:szCs w:val="24"/>
        </w:rPr>
        <w:t>：围绕公众社会心理健康管理服务数据，实现与卫健、教育、政法、宣传等部门信息平台以及本地人口健康信息平台的对接能力，同时根据业务权限及相关技术手段保障系统数据开放过程的安全、完整、高效。</w:t>
      </w:r>
    </w:p>
    <w:p>
      <w:pPr>
        <w:jc w:val="left"/>
        <w:rPr>
          <w:rFonts w:ascii="微软雅黑" w:hAnsi="微软雅黑" w:eastAsia="微软雅黑"/>
          <w:sz w:val="24"/>
          <w:szCs w:val="24"/>
        </w:rPr>
      </w:pPr>
      <w:r>
        <w:rPr>
          <w:rFonts w:hint="eastAsia" w:ascii="微软雅黑" w:hAnsi="微软雅黑" w:eastAsia="微软雅黑"/>
          <w:b/>
          <w:sz w:val="24"/>
          <w:szCs w:val="24"/>
        </w:rPr>
        <w:t>提升医院业务覆盖能力：</w:t>
      </w:r>
      <w:r>
        <w:rPr>
          <w:rFonts w:hint="eastAsia" w:ascii="微软雅黑" w:hAnsi="微软雅黑" w:eastAsia="微软雅黑"/>
          <w:sz w:val="24"/>
          <w:szCs w:val="24"/>
        </w:rPr>
        <w:t>与院内的相关系统进行整合，有效提升医院各类信息与服务资源的服务辐射范围。</w:t>
      </w:r>
    </w:p>
    <w:p>
      <w:pPr>
        <w:jc w:val="left"/>
        <w:rPr>
          <w:rFonts w:ascii="微软雅黑" w:hAnsi="微软雅黑" w:eastAsia="微软雅黑"/>
          <w:color w:val="0000FF"/>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8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chineseCountingThousand"/>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lang w:val="en-US"/>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FlZDg5YzJhY2I5ZWQwMDJjY2QxZWIzODkxMGJhZTMifQ=="/>
  </w:docVars>
  <w:rsids>
    <w:rsidRoot w:val="005D03D6"/>
    <w:rsid w:val="00033A8B"/>
    <w:rsid w:val="000E43BD"/>
    <w:rsid w:val="0013204E"/>
    <w:rsid w:val="001D288F"/>
    <w:rsid w:val="00211E5E"/>
    <w:rsid w:val="00214A23"/>
    <w:rsid w:val="002B4D46"/>
    <w:rsid w:val="00411978"/>
    <w:rsid w:val="0042214B"/>
    <w:rsid w:val="004D6F91"/>
    <w:rsid w:val="00522803"/>
    <w:rsid w:val="005D03D6"/>
    <w:rsid w:val="006A11BC"/>
    <w:rsid w:val="00703ABB"/>
    <w:rsid w:val="00730EEE"/>
    <w:rsid w:val="007445F8"/>
    <w:rsid w:val="007A5136"/>
    <w:rsid w:val="00841B91"/>
    <w:rsid w:val="008D4E0A"/>
    <w:rsid w:val="00924363"/>
    <w:rsid w:val="009372E2"/>
    <w:rsid w:val="009500E0"/>
    <w:rsid w:val="009A5877"/>
    <w:rsid w:val="009C0C96"/>
    <w:rsid w:val="009E2B6F"/>
    <w:rsid w:val="009E7123"/>
    <w:rsid w:val="00A5491A"/>
    <w:rsid w:val="00A7050C"/>
    <w:rsid w:val="00AA6C74"/>
    <w:rsid w:val="00AF4B21"/>
    <w:rsid w:val="00B02DD0"/>
    <w:rsid w:val="00CA3061"/>
    <w:rsid w:val="00CA30CA"/>
    <w:rsid w:val="00E1059A"/>
    <w:rsid w:val="00FF46B7"/>
    <w:rsid w:val="06615CD8"/>
    <w:rsid w:val="23130AEE"/>
    <w:rsid w:val="4AE20F59"/>
    <w:rsid w:val="4B663A35"/>
    <w:rsid w:val="4DCB7077"/>
    <w:rsid w:val="583646F9"/>
    <w:rsid w:val="73705AA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2"/>
    <w:basedOn w:val="1"/>
    <w:next w:val="1"/>
    <w:link w:val="14"/>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3"/>
    <w:qFormat/>
    <w:uiPriority w:val="9"/>
    <w:pPr>
      <w:widowControl/>
      <w:spacing w:before="100" w:beforeAutospacing="1" w:after="100" w:afterAutospacing="1"/>
      <w:jc w:val="left"/>
      <w:outlineLvl w:val="2"/>
    </w:pPr>
    <w:rPr>
      <w:rFonts w:ascii="宋体" w:hAnsi="宋体"/>
      <w:b/>
      <w:bCs/>
      <w:kern w:val="0"/>
      <w:sz w:val="27"/>
      <w:szCs w:val="27"/>
    </w:rPr>
  </w:style>
  <w:style w:type="paragraph" w:styleId="5">
    <w:name w:val="heading 4"/>
    <w:basedOn w:val="1"/>
    <w:next w:val="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 w:type="paragraph" w:styleId="6">
    <w:name w:val="Normal Indent"/>
    <w:basedOn w:val="1"/>
    <w:qFormat/>
    <w:uiPriority w:val="0"/>
    <w:pPr>
      <w:ind w:firstLine="420" w:firstLineChars="200"/>
    </w:p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kern w:val="0"/>
      <w:sz w:val="24"/>
      <w:szCs w:val="24"/>
    </w:rPr>
  </w:style>
  <w:style w:type="table" w:styleId="11">
    <w:name w:val="Table Grid"/>
    <w:basedOn w:val="10"/>
    <w:qFormat/>
    <w:uiPriority w:val="0"/>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标题 3 Char"/>
    <w:basedOn w:val="12"/>
    <w:link w:val="4"/>
    <w:qFormat/>
    <w:uiPriority w:val="9"/>
    <w:rPr>
      <w:rFonts w:ascii="宋体" w:hAnsi="宋体" w:eastAsia="宋体" w:cs="宋体"/>
      <w:b/>
      <w:bCs/>
      <w:kern w:val="0"/>
      <w:sz w:val="27"/>
      <w:szCs w:val="27"/>
    </w:rPr>
  </w:style>
  <w:style w:type="character" w:customStyle="1" w:styleId="14">
    <w:name w:val="标题 2 Char"/>
    <w:basedOn w:val="12"/>
    <w:link w:val="3"/>
    <w:qFormat/>
    <w:uiPriority w:val="9"/>
    <w:rPr>
      <w:rFonts w:ascii="Cambria" w:hAnsi="Cambria" w:eastAsia="宋体" w:cs="宋体"/>
      <w:b/>
      <w:bCs/>
      <w:sz w:val="32"/>
      <w:szCs w:val="32"/>
    </w:rPr>
  </w:style>
  <w:style w:type="character" w:customStyle="1" w:styleId="15">
    <w:name w:val="页眉 Char"/>
    <w:basedOn w:val="12"/>
    <w:link w:val="8"/>
    <w:qFormat/>
    <w:uiPriority w:val="99"/>
    <w:rPr>
      <w:sz w:val="18"/>
      <w:szCs w:val="18"/>
    </w:rPr>
  </w:style>
  <w:style w:type="character" w:customStyle="1" w:styleId="16">
    <w:name w:val="页脚 Char"/>
    <w:basedOn w:val="12"/>
    <w:link w:val="7"/>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1928</Words>
  <Characters>1968</Characters>
  <Lines>14</Lines>
  <Paragraphs>4</Paragraphs>
  <TotalTime>67</TotalTime>
  <ScaleCrop>false</ScaleCrop>
  <LinksUpToDate>false</LinksUpToDate>
  <CharactersWithSpaces>1988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2022-07-28T02:57:00Z</dcterms:created>
  <dc:creator>Data</dc:creator>
  <cp:lastModifiedBy>书香秋韵</cp:lastModifiedBy>
  <dcterms:modified xsi:type="dcterms:W3CDTF">2022-08-31T12:15:03Z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F3AFFFA8D6A548B68AD0A6D69BD77C2F</vt:lpwstr>
  </property>
</Properties>
</file>